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1" w:rsidRDefault="00C30691" w:rsidP="007022C3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1</w:t>
      </w:r>
    </w:p>
    <w:p w:rsidR="00C30691" w:rsidRDefault="00C30691" w:rsidP="00702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по развитию малого и среднего предпринимательства на территории Тулунского муниципального района (далее – Совет) </w:t>
      </w:r>
    </w:p>
    <w:p w:rsidR="00C30691" w:rsidRDefault="00C30691" w:rsidP="007022C3">
      <w:pPr>
        <w:tabs>
          <w:tab w:val="left" w:pos="10080"/>
        </w:tabs>
        <w:jc w:val="center"/>
        <w:rPr>
          <w:sz w:val="28"/>
          <w:szCs w:val="28"/>
        </w:rPr>
      </w:pPr>
    </w:p>
    <w:p w:rsidR="00C30691" w:rsidRDefault="00C30691" w:rsidP="007022C3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11 августа 2021 года                                                       г. Тулун, ул. Гидролизная , № 2</w:t>
      </w:r>
    </w:p>
    <w:p w:rsidR="00C30691" w:rsidRDefault="00C30691" w:rsidP="007022C3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10-00 часов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p w:rsidR="00C30691" w:rsidRDefault="00C30691" w:rsidP="007022C3">
      <w:pPr>
        <w:tabs>
          <w:tab w:val="left" w:pos="10080"/>
        </w:tabs>
        <w:jc w:val="both"/>
        <w:rPr>
          <w:sz w:val="28"/>
          <w:szCs w:val="28"/>
        </w:rPr>
      </w:pPr>
    </w:p>
    <w:p w:rsidR="00C30691" w:rsidRDefault="00C30691" w:rsidP="007022C3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764"/>
        <w:gridCol w:w="2657"/>
      </w:tblGrid>
      <w:tr w:rsidR="00C30691" w:rsidTr="006C4707">
        <w:tc>
          <w:tcPr>
            <w:tcW w:w="3725" w:type="pct"/>
          </w:tcPr>
          <w:p w:rsidR="00C30691" w:rsidRDefault="00C30691" w:rsidP="006C470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75EA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Тулунского муниципального района,  председатель Совета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B103C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934341">
        <w:trPr>
          <w:trHeight w:val="240"/>
        </w:trPr>
        <w:tc>
          <w:tcPr>
            <w:tcW w:w="3725" w:type="pct"/>
            <w:tcBorders>
              <w:top w:val="single" w:sz="4" w:space="0" w:color="auto"/>
            </w:tcBorders>
          </w:tcPr>
          <w:p w:rsidR="00C30691" w:rsidRDefault="00C30691" w:rsidP="00082A2B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по развитию туризма и потребительского рынка Отдела по развитию предпринимательства администрации Тулунского муниципального района, ВрИО  секретаря Совета</w:t>
            </w:r>
          </w:p>
        </w:tc>
        <w:tc>
          <w:tcPr>
            <w:tcW w:w="1275" w:type="pct"/>
            <w:tcBorders>
              <w:top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Е.М.Семенова</w:t>
            </w: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B103C9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934341">
        <w:trPr>
          <w:trHeight w:val="360"/>
        </w:trPr>
        <w:tc>
          <w:tcPr>
            <w:tcW w:w="3725" w:type="pct"/>
            <w:tcBorders>
              <w:bottom w:val="single" w:sz="4" w:space="0" w:color="auto"/>
            </w:tcBorders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934341">
        <w:trPr>
          <w:trHeight w:val="360"/>
        </w:trPr>
        <w:tc>
          <w:tcPr>
            <w:tcW w:w="3725" w:type="pct"/>
            <w:tcBorders>
              <w:bottom w:val="single" w:sz="4" w:space="0" w:color="auto"/>
            </w:tcBorders>
          </w:tcPr>
          <w:p w:rsidR="00C30691" w:rsidRPr="00B103C9" w:rsidRDefault="00C30691" w:rsidP="008A579F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управления по экономике и прогнозированию  комитета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О. С. Кисенко</w:t>
            </w:r>
          </w:p>
        </w:tc>
      </w:tr>
      <w:tr w:rsidR="00C30691" w:rsidTr="00934341">
        <w:trPr>
          <w:trHeight w:val="360"/>
        </w:trPr>
        <w:tc>
          <w:tcPr>
            <w:tcW w:w="3725" w:type="pct"/>
            <w:tcBorders>
              <w:bottom w:val="single" w:sz="4" w:space="0" w:color="auto"/>
            </w:tcBorders>
          </w:tcPr>
          <w:p w:rsidR="00C30691" w:rsidRDefault="00C30691" w:rsidP="008A579F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934341">
        <w:trPr>
          <w:trHeight w:val="345"/>
        </w:trPr>
        <w:tc>
          <w:tcPr>
            <w:tcW w:w="372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 комитета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Т.М. Лисичкина</w:t>
            </w:r>
          </w:p>
        </w:tc>
      </w:tr>
      <w:tr w:rsidR="00C30691" w:rsidTr="00934341">
        <w:trPr>
          <w:trHeight w:val="285"/>
        </w:trPr>
        <w:tc>
          <w:tcPr>
            <w:tcW w:w="3725" w:type="pct"/>
            <w:tcBorders>
              <w:top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B103C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B103C9">
              <w:rPr>
                <w:sz w:val="28"/>
                <w:szCs w:val="28"/>
              </w:rPr>
              <w:t xml:space="preserve"> комитета по управлению муниципальным имуществом администрации Тулунского муниципального района </w:t>
            </w: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Вознюк</w:t>
            </w: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Председатель комитета по строительству</w:t>
            </w:r>
            <w:r>
              <w:rPr>
                <w:sz w:val="28"/>
                <w:szCs w:val="28"/>
              </w:rPr>
              <w:t>, дорожному хозяйству</w:t>
            </w:r>
            <w:r w:rsidRPr="00B103C9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Т.А. Бруева</w:t>
            </w: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75EA6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Юрист </w:t>
            </w:r>
            <w:r w:rsidRPr="00B103C9">
              <w:rPr>
                <w:sz w:val="28"/>
              </w:rPr>
              <w:t xml:space="preserve"> некоммерческого партнерства «Союз предпринимателей и промышленников города Тулуна и Тулунского района»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Ю.С. Степанченко</w:t>
            </w:r>
          </w:p>
        </w:tc>
      </w:tr>
      <w:tr w:rsidR="00C30691" w:rsidTr="006C4707">
        <w:tc>
          <w:tcPr>
            <w:tcW w:w="3725" w:type="pct"/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0691" w:rsidTr="00EE607C">
        <w:trPr>
          <w:trHeight w:val="270"/>
        </w:trPr>
        <w:tc>
          <w:tcPr>
            <w:tcW w:w="372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Индивидуальный предприниматель, глава крестьянского (фермерского) хозяйства «</w:t>
            </w:r>
            <w:r>
              <w:rPr>
                <w:sz w:val="28"/>
              </w:rPr>
              <w:t>Асаенок С.С</w:t>
            </w:r>
            <w:r w:rsidRPr="00B103C9">
              <w:rPr>
                <w:sz w:val="28"/>
              </w:rPr>
              <w:t>.»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Pr="00B103C9" w:rsidRDefault="00C30691" w:rsidP="006C47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Асаенок</w:t>
            </w:r>
          </w:p>
        </w:tc>
      </w:tr>
      <w:tr w:rsidR="00C30691" w:rsidTr="00EE607C">
        <w:trPr>
          <w:trHeight w:val="360"/>
        </w:trPr>
        <w:tc>
          <w:tcPr>
            <w:tcW w:w="372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Pr="00B103C9" w:rsidRDefault="00C30691" w:rsidP="006C4707">
            <w:pPr>
              <w:jc w:val="right"/>
              <w:rPr>
                <w:sz w:val="28"/>
                <w:szCs w:val="28"/>
              </w:rPr>
            </w:pPr>
          </w:p>
        </w:tc>
      </w:tr>
      <w:tr w:rsidR="00C30691" w:rsidTr="00EE607C">
        <w:trPr>
          <w:trHeight w:val="180"/>
        </w:trPr>
        <w:tc>
          <w:tcPr>
            <w:tcW w:w="372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Главный бухгалтер ООО «Урожай»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Pr="00B103C9" w:rsidRDefault="00C30691" w:rsidP="006C47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Клешко</w:t>
            </w:r>
          </w:p>
        </w:tc>
      </w:tr>
      <w:tr w:rsidR="00C30691" w:rsidTr="00EE607C">
        <w:trPr>
          <w:trHeight w:val="360"/>
        </w:trPr>
        <w:tc>
          <w:tcPr>
            <w:tcW w:w="372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Default="00C30691" w:rsidP="006C470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C30691" w:rsidRPr="00B103C9" w:rsidRDefault="00C30691" w:rsidP="006C4707">
            <w:pPr>
              <w:jc w:val="right"/>
              <w:rPr>
                <w:sz w:val="28"/>
                <w:szCs w:val="28"/>
              </w:rPr>
            </w:pPr>
          </w:p>
        </w:tc>
      </w:tr>
      <w:tr w:rsidR="00C30691" w:rsidTr="006C4707">
        <w:trPr>
          <w:trHeight w:val="80"/>
        </w:trPr>
        <w:tc>
          <w:tcPr>
            <w:tcW w:w="3725" w:type="pct"/>
          </w:tcPr>
          <w:p w:rsidR="00C30691" w:rsidRPr="00B103C9" w:rsidRDefault="00C30691" w:rsidP="00675E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Pr="002C57E2">
              <w:rPr>
                <w:sz w:val="28"/>
              </w:rPr>
              <w:t>ндиви</w:t>
            </w:r>
            <w:r>
              <w:rPr>
                <w:sz w:val="28"/>
              </w:rPr>
              <w:t>дуальный предприниматель</w:t>
            </w:r>
            <w:r w:rsidRPr="002C57E2">
              <w:rPr>
                <w:sz w:val="28"/>
              </w:rPr>
              <w:t xml:space="preserve"> 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О.Л.Лыткина</w:t>
            </w:r>
          </w:p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30691" w:rsidTr="006C4707">
        <w:trPr>
          <w:trHeight w:val="80"/>
        </w:trPr>
        <w:tc>
          <w:tcPr>
            <w:tcW w:w="3725" w:type="pct"/>
          </w:tcPr>
          <w:p w:rsidR="00C30691" w:rsidRDefault="00C30691" w:rsidP="008A579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Тулунского территориального отделения Иркутского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Н.К.Задорожный</w:t>
            </w: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6C4707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b/>
                <w:sz w:val="28"/>
              </w:rPr>
              <w:t>ПРИГЛАШЁННЫЕ:</w:t>
            </w:r>
          </w:p>
        </w:tc>
        <w:tc>
          <w:tcPr>
            <w:tcW w:w="1275" w:type="pct"/>
          </w:tcPr>
          <w:p w:rsidR="00C30691" w:rsidRPr="00B103C9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581565" w:rsidRDefault="00C30691" w:rsidP="006C470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C30691" w:rsidRPr="00581565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B103C9" w:rsidRDefault="00C30691" w:rsidP="00AE6E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Директор Фонда  поддержки и развития предпринимательства Иркутской области Центр «Мой бизнес»</w:t>
            </w:r>
          </w:p>
        </w:tc>
        <w:tc>
          <w:tcPr>
            <w:tcW w:w="1275" w:type="pct"/>
          </w:tcPr>
          <w:p w:rsidR="00C30691" w:rsidRPr="00F36CB2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Д.Р.Окладникова</w:t>
            </w:r>
          </w:p>
        </w:tc>
      </w:tr>
      <w:tr w:rsidR="00C30691" w:rsidTr="006C4707">
        <w:tc>
          <w:tcPr>
            <w:tcW w:w="3725" w:type="pct"/>
          </w:tcPr>
          <w:p w:rsidR="00C30691" w:rsidRDefault="00C30691" w:rsidP="00AE6E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Pr="004E4AC2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Специалист отдела развития Фонда поддержки и развития предпринимательства Иркутской области Центр «Мой бизнес»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И. Г.  Храмова</w:t>
            </w:r>
          </w:p>
        </w:tc>
      </w:tr>
      <w:tr w:rsidR="00C30691" w:rsidTr="006C4707">
        <w:tc>
          <w:tcPr>
            <w:tcW w:w="3725" w:type="pct"/>
          </w:tcPr>
          <w:p w:rsidR="00C30691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ОГКУ «УСЗН по городу Тулуну и Тулунскому району»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Е. Я. Сигачева</w:t>
            </w:r>
          </w:p>
        </w:tc>
      </w:tr>
      <w:tr w:rsidR="00C30691" w:rsidTr="006C4707">
        <w:tc>
          <w:tcPr>
            <w:tcW w:w="3725" w:type="pct"/>
          </w:tcPr>
          <w:p w:rsidR="00C30691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ОГКУ ЦЗН города Тулуна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С.В.Васильева</w:t>
            </w:r>
          </w:p>
        </w:tc>
      </w:tr>
      <w:tr w:rsidR="00C30691" w:rsidTr="006C4707">
        <w:tc>
          <w:tcPr>
            <w:tcW w:w="3725" w:type="pct"/>
          </w:tcPr>
          <w:p w:rsidR="00C30691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30691" w:rsidTr="006C4707">
        <w:tc>
          <w:tcPr>
            <w:tcW w:w="3725" w:type="pct"/>
          </w:tcPr>
          <w:p w:rsidR="00C30691" w:rsidRDefault="00C30691" w:rsidP="00675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5" w:type="pct"/>
          </w:tcPr>
          <w:p w:rsidR="00C30691" w:rsidRDefault="00C30691" w:rsidP="006C470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</w:tbl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0691" w:rsidRDefault="00C30691" w:rsidP="00D552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Трус С.Н. – открыл заседание Совета, ознакомил членов Совета с  повесткой заседания.</w:t>
      </w:r>
      <w:r w:rsidRPr="00D5528E">
        <w:rPr>
          <w:sz w:val="28"/>
          <w:szCs w:val="28"/>
        </w:rPr>
        <w:t xml:space="preserve"> </w:t>
      </w:r>
      <w:r>
        <w:rPr>
          <w:sz w:val="28"/>
          <w:szCs w:val="28"/>
        </w:rPr>
        <w:t>6-ой вопрос «Информацию об изменениях налогового законодательства» снять с повестки заседания Совета в связи с отсутствием Брагиной Елены Анатольевны – заместителя начальника Межрайонной ИФНС России №6 по Иркутской области.</w:t>
      </w:r>
    </w:p>
    <w:p w:rsidR="00C30691" w:rsidRDefault="00C30691" w:rsidP="00D552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повестку заседания Совета.</w:t>
      </w:r>
    </w:p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0691" w:rsidRPr="00ED41CB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0691" w:rsidRPr="00ED41CB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D41CB">
        <w:rPr>
          <w:sz w:val="28"/>
          <w:szCs w:val="28"/>
        </w:rPr>
        <w:t>Рассмотрели следующие вопросы повестки заседания Совета:</w:t>
      </w:r>
    </w:p>
    <w:p w:rsidR="00C30691" w:rsidRPr="00ED41CB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0691" w:rsidRPr="00ED41CB" w:rsidRDefault="00C30691" w:rsidP="00ED41C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D41C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Меры государственной поддержки для субъектов  малого и среднего предпринимательства</w:t>
      </w:r>
    </w:p>
    <w:p w:rsidR="00C30691" w:rsidRPr="00ED41CB" w:rsidRDefault="00C30691" w:rsidP="00ED41C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D41C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Окладникова Д.Р., Храмова И.Г.</w:t>
      </w:r>
    </w:p>
    <w:p w:rsidR="00C30691" w:rsidRPr="00B537F1" w:rsidRDefault="00C30691" w:rsidP="00B537F1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B537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Государственная  поддержка сельскохозяйственных товаропроизводителей Тулунского района в 2021 году</w:t>
      </w:r>
    </w:p>
    <w:p w:rsidR="00C30691" w:rsidRDefault="00C30691" w:rsidP="00B537F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537F1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Лисичкина Т.М.</w:t>
      </w:r>
    </w:p>
    <w:p w:rsidR="00C30691" w:rsidRDefault="00C30691" w:rsidP="00443901">
      <w:pPr>
        <w:tabs>
          <w:tab w:val="left" w:pos="10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  реализации Закона Иркутской области от 19.07.2010г. № 73-ОЗ «О государственной социальной помощи отдельным категориям граждан в Иркутской области» в части предоставления государственной социальной помощи на основании социального контракта по направлению осуществления индивидуальной предпринимательской деятельности</w:t>
      </w:r>
    </w:p>
    <w:p w:rsidR="00C30691" w:rsidRDefault="00C30691" w:rsidP="00443901">
      <w:pPr>
        <w:tabs>
          <w:tab w:val="left" w:pos="10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Докладчик: Сигачева Е.Я. </w:t>
      </w:r>
    </w:p>
    <w:p w:rsidR="00C30691" w:rsidRDefault="00C30691" w:rsidP="00443901">
      <w:pPr>
        <w:tabs>
          <w:tab w:val="left" w:pos="10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Государственная поддержка в 2021 году юридических лиц и индивидуальных  предпринимателей при трудоустройстве безработных граждан</w:t>
      </w:r>
    </w:p>
    <w:p w:rsidR="00C30691" w:rsidRDefault="00C30691" w:rsidP="00443901">
      <w:pPr>
        <w:tabs>
          <w:tab w:val="left" w:pos="10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Васильева С.В.</w:t>
      </w:r>
    </w:p>
    <w:p w:rsidR="00C30691" w:rsidRPr="00D34502" w:rsidRDefault="00C30691" w:rsidP="008102D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537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Реализация имущественной поддержки субъектам МСП на территории Тулунского муниципального района</w:t>
      </w:r>
    </w:p>
    <w:p w:rsidR="00C30691" w:rsidRPr="00D34502" w:rsidRDefault="00C30691" w:rsidP="00B537F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Вознюк А.В.</w:t>
      </w:r>
    </w:p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691" w:rsidRPr="007D43BD" w:rsidRDefault="00C30691" w:rsidP="007022C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D43BD">
        <w:rPr>
          <w:b/>
          <w:sz w:val="28"/>
          <w:szCs w:val="28"/>
        </w:rPr>
        <w:t>СЛУШАЛИ:</w:t>
      </w:r>
    </w:p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0691" w:rsidRPr="007D43BD" w:rsidRDefault="00C30691" w:rsidP="007022C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D43BD">
        <w:rPr>
          <w:b/>
          <w:sz w:val="28"/>
          <w:szCs w:val="28"/>
        </w:rPr>
        <w:t>По вопросу 1.</w:t>
      </w:r>
    </w:p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Выступила: Окладникова Д.Р.- директор Фонда поддержки и развития предпринимательства Иркутской области Центр « Мой бизнес»</w:t>
      </w:r>
    </w:p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Была представлена информация по мерам государственной поддержки для субъектов малого и среднего предпринимательства по направлениям: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 системе государственной поддержки Иркутской области – формирование принципа « Одного окна»,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система поддержки предпринимателей в 2021 году,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нефинансовой поддержки,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финансовой поддержки,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экспортной поддержки,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поддержке и развитию предпринимательства в 2021году.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Выступили: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Трус С.Н.-  К вам за поддержкой могут обращаться субъекты малого бизнеса, в частности индивидуальные предприниматели и самозанятые граждане?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Окладникова Д.Р. – Да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Трус С.Н. – Поддержка, оказываемая Центром « Мой бизнес» платная или на безвозмездной основе?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Окладникова Д.Р. -  Поддержка оказывается бесплатно. Но есть программы, которые подразумевают оплату, при индивидуальном наставничестве.</w:t>
      </w:r>
    </w:p>
    <w:p w:rsidR="00C30691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Выступила: Храмова И.Г. – специалист отдела развития Фонда поддержки и развития предпринимательства Иркутской области Центр « Мой бизнес», которая в своем докладе рассказала о «</w:t>
      </w:r>
      <w:r w:rsidRPr="007B44A7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7B44A7">
        <w:rPr>
          <w:sz w:val="28"/>
          <w:szCs w:val="28"/>
        </w:rPr>
        <w:t xml:space="preserve"> компетенций в сфере сельскохозяйственной кооперации и поддержки фермеров Иркутской области</w:t>
      </w:r>
      <w:r>
        <w:rPr>
          <w:sz w:val="28"/>
          <w:szCs w:val="28"/>
        </w:rPr>
        <w:t>»:</w:t>
      </w:r>
    </w:p>
    <w:p w:rsidR="00C30691" w:rsidRPr="002E1F1D" w:rsidRDefault="00C30691" w:rsidP="002E1F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E1F1D">
        <w:rPr>
          <w:sz w:val="28"/>
          <w:szCs w:val="28"/>
        </w:rPr>
        <w:t>Центр компетенций в сфере сельскохозяйственной кооперации и поддержки фермеров Иркутской области осуществляет деятельность по оказанию информационно-консультационных, методических услуг субъектам малого и среднего предпринимательства, сельскохозяйственным кооперативам, личным подсобным хозяйствам в области сельского хозяйства; организации и сопровождения деятельности микро-,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обслуживание); проведению семинаров, конференций, круглых столов; привлечению к участию субъектов МСП в выс</w:t>
      </w:r>
      <w:r>
        <w:rPr>
          <w:sz w:val="28"/>
          <w:szCs w:val="28"/>
        </w:rPr>
        <w:t>тавочно-ярмарочных</w:t>
      </w:r>
      <w:r w:rsidRPr="002E1F1D">
        <w:rPr>
          <w:sz w:val="28"/>
          <w:szCs w:val="28"/>
        </w:rPr>
        <w:t xml:space="preserve"> мероприятиях, бизнес- миссиях; оказанию услуг по подготовке и оформлению документов для участия субъектов МСП и сельскохозяйственных кооперативов в программах государственной поддержки, реализуемых на муниципальном, региональном и федеральном уровнях. Подробнее на сайте http://ck-agro38.ru</w:t>
      </w:r>
      <w:r>
        <w:rPr>
          <w:sz w:val="28"/>
          <w:szCs w:val="28"/>
        </w:rPr>
        <w:t>/</w:t>
      </w:r>
      <w:r w:rsidRPr="002E1F1D">
        <w:rPr>
          <w:sz w:val="28"/>
          <w:szCs w:val="28"/>
        </w:rPr>
        <w:t xml:space="preserve"> </w:t>
      </w:r>
    </w:p>
    <w:p w:rsidR="00C30691" w:rsidRDefault="00C30691" w:rsidP="00E302B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4A7">
        <w:rPr>
          <w:sz w:val="28"/>
          <w:szCs w:val="28"/>
        </w:rPr>
        <w:t xml:space="preserve">Центр создан постановлением правительства Иркутской области от 30 апреля 2019 года 2019г. № 358-ПП и является структурным подразделением Фонда Поддержки Предпринимательства в Иркутской области. </w:t>
      </w:r>
      <w:r w:rsidRPr="007B44A7">
        <w:rPr>
          <w:sz w:val="28"/>
          <w:szCs w:val="28"/>
        </w:rPr>
        <w:br/>
        <w:t>Цели и задачи Центра</w:t>
      </w:r>
      <w:r w:rsidRPr="007B44A7">
        <w:rPr>
          <w:sz w:val="28"/>
          <w:szCs w:val="28"/>
        </w:rPr>
        <w:br/>
        <w:t>- Сопровождение бизнеса</w:t>
      </w:r>
      <w:r w:rsidRPr="007B44A7">
        <w:rPr>
          <w:sz w:val="28"/>
          <w:szCs w:val="28"/>
        </w:rPr>
        <w:br/>
        <w:t>Вы уже вышли на рынок? И тут мы можем вам помочь! Сопровождение бизнеса по следующим направлениям: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Помощь в подготовке и сдаче отчетности.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Юридическое сопровождение.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Содействие в получении мер гос.</w:t>
      </w:r>
      <w:r>
        <w:rPr>
          <w:sz w:val="28"/>
          <w:szCs w:val="28"/>
        </w:rPr>
        <w:t xml:space="preserve"> </w:t>
      </w:r>
      <w:r w:rsidRPr="007B44A7">
        <w:rPr>
          <w:sz w:val="28"/>
          <w:szCs w:val="28"/>
        </w:rPr>
        <w:t>поддержки.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Привлечение инвестиций.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Взаимодействие с органами власти.</w:t>
      </w:r>
      <w:r w:rsidRPr="007B44A7">
        <w:rPr>
          <w:sz w:val="28"/>
          <w:szCs w:val="28"/>
        </w:rPr>
        <w:br/>
      </w:r>
      <w:r w:rsidRPr="007B44A7">
        <w:rPr>
          <w:sz w:val="28"/>
          <w:szCs w:val="28"/>
        </w:rPr>
        <w:br/>
        <w:t>- Поддержка развития</w:t>
      </w:r>
      <w:r w:rsidRPr="007B44A7">
        <w:rPr>
          <w:sz w:val="28"/>
          <w:szCs w:val="28"/>
        </w:rPr>
        <w:br/>
        <w:t>Поможем вам выйти на рынок и уверенно занять свою нишу благодаря ряду мер: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Проведение маркетинговых исследований.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Продвижение товаров и услуг на рынке.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Помощь в приобретении с/х техники и оборудования.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Помощь в оформлении деклараций, лицензий, сертификатов.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Участие в российских и международных выставках.</w:t>
      </w:r>
      <w:r w:rsidRPr="007B44A7">
        <w:rPr>
          <w:sz w:val="28"/>
          <w:szCs w:val="28"/>
        </w:rPr>
        <w:br/>
      </w:r>
      <w:r w:rsidRPr="007B44A7">
        <w:rPr>
          <w:sz w:val="28"/>
          <w:szCs w:val="28"/>
        </w:rPr>
        <w:br/>
        <w:t>- Повышение квалификации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Поможем с подготовкой и обучением сотрудников любой квалификации в сфере сельского хозяйства: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Законодательство в области сельского хозяйства.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Актуальные вопросы налогообложения.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Организация и ведение КФХ, СПоК.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По подотраслям: агрономия, животноводство и др.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Основы финансового планирования.</w:t>
      </w:r>
      <w:r w:rsidRPr="007B44A7">
        <w:rPr>
          <w:sz w:val="28"/>
          <w:szCs w:val="28"/>
        </w:rPr>
        <w:br/>
        <w:t>- Помощь в создании бизнеса</w:t>
      </w:r>
      <w:r w:rsidRPr="007B44A7">
        <w:rPr>
          <w:sz w:val="28"/>
          <w:szCs w:val="28"/>
        </w:rPr>
        <w:br/>
        <w:t>Появление новых фермеров и кооперативов вносит существенный вклад в экономику области, поэтому мы всегда рады оказать ряд мер для помощи в создания бизнеса: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Помощь в регистрации КФХ, организаций, С/Х кооперативов.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Услуги в сфере экономической консультации.</w:t>
      </w:r>
      <w:r w:rsidRPr="007B44A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7B44A7">
        <w:rPr>
          <w:sz w:val="28"/>
          <w:szCs w:val="28"/>
        </w:rPr>
        <w:t>Разработка бизнес-планов.</w:t>
      </w:r>
      <w:r w:rsidRPr="007B44A7">
        <w:rPr>
          <w:sz w:val="28"/>
          <w:szCs w:val="28"/>
        </w:rPr>
        <w:br/>
        <w:t>Подготовка инвестиционных проектов.</w:t>
      </w:r>
    </w:p>
    <w:p w:rsidR="00C30691" w:rsidRDefault="00C30691" w:rsidP="002E1F1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дальнейшей работы начальник Управления сельского хозяйства комитета по экономике и развитию предпринимательства администрации Тулунского муниципального района Лисичкина Т.М. и Храмова И.Г. обменялись контактными данными.</w:t>
      </w:r>
    </w:p>
    <w:p w:rsidR="00C30691" w:rsidRPr="007D43BD" w:rsidRDefault="00C30691" w:rsidP="007D43BD">
      <w:pPr>
        <w:pStyle w:val="NormalWe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43BD">
        <w:rPr>
          <w:b/>
          <w:sz w:val="28"/>
          <w:szCs w:val="28"/>
        </w:rPr>
        <w:t>По вопросу 2.</w:t>
      </w:r>
    </w:p>
    <w:p w:rsidR="00C30691" w:rsidRDefault="00C30691" w:rsidP="007D43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Выступила : Лисичкина Т.М. - начальник Управления сельского хозяйства комитета по экономике и развитию предпринимательства администрации Тулунского муниципального района.</w:t>
      </w:r>
    </w:p>
    <w:p w:rsidR="00C30691" w:rsidRDefault="00C30691" w:rsidP="007D43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Государственная поддержка сельскохозяйственных  товаропроизводителей Тулунского района в 2021 году осуществляется по двум направлениям:  </w:t>
      </w:r>
    </w:p>
    <w:p w:rsidR="00C30691" w:rsidRDefault="00C30691" w:rsidP="007D43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1.Механизмы государственной поддержки агропромышленного комплекса Иркутской области в сфере растениеводства – получение стимулирующих субсидий. Ставка – 300 рублей за 1 тонну планового валого сбора зерновых и (или) зернобобовых сельскохозяйственных культур на текущий год.</w:t>
      </w:r>
    </w:p>
    <w:p w:rsidR="00C30691" w:rsidRDefault="00C30691" w:rsidP="007D43B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Субсидии на проведение агротехнических работ, повышение уровня экологической безопасности сельскохозяйственного производства, а также повышение плодородия и качества почв и возмещение затрат на поддержку элитного семеноводства. Право на получение субсидий имеют организации, индивидуальные предприниматели, крестьянские (фермерские) хозяйства. Ставка, рублей на гектар зависит от вида работ, от вида культур и др.факторов.</w:t>
      </w:r>
    </w:p>
    <w:p w:rsidR="00C30691" w:rsidRDefault="00C30691" w:rsidP="00036AF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C30691" w:rsidRDefault="00C30691" w:rsidP="00036AF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Трус С.Н. – Сколько планируется получить субсидий в 2021 году?</w:t>
      </w:r>
    </w:p>
    <w:p w:rsidR="00C30691" w:rsidRDefault="00C30691" w:rsidP="00036AF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Лисичкина Т.М. – В 2021 году планируется получить меньше субсидий по отношению к 2020 году.</w:t>
      </w:r>
    </w:p>
    <w:p w:rsidR="00C30691" w:rsidRPr="007D43BD" w:rsidRDefault="00C30691" w:rsidP="00036AF9">
      <w:pPr>
        <w:pStyle w:val="NormalWeb"/>
        <w:jc w:val="both"/>
        <w:rPr>
          <w:b/>
          <w:sz w:val="28"/>
          <w:szCs w:val="28"/>
        </w:rPr>
      </w:pPr>
      <w:r w:rsidRPr="007D43BD">
        <w:rPr>
          <w:b/>
          <w:sz w:val="28"/>
          <w:szCs w:val="28"/>
        </w:rPr>
        <w:t>По вопросу</w:t>
      </w:r>
      <w:r>
        <w:rPr>
          <w:b/>
          <w:sz w:val="28"/>
          <w:szCs w:val="28"/>
        </w:rPr>
        <w:t xml:space="preserve"> </w:t>
      </w:r>
      <w:r w:rsidRPr="007D43BD">
        <w:rPr>
          <w:b/>
          <w:sz w:val="28"/>
          <w:szCs w:val="28"/>
        </w:rPr>
        <w:t>3.</w:t>
      </w:r>
    </w:p>
    <w:p w:rsidR="00C30691" w:rsidRPr="00386208" w:rsidRDefault="00C30691" w:rsidP="009474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Выступила: Сигачева Е.Я.- директор ОГКУ «УСЗН по городу Тулуну и Тулунскому  району». С 2021 года внесены существенные изменения в порядок и организацию предоставления государственной социальной помощи на основании социального контракта. Социальный  контракт – соглашение, которое заключено между </w:t>
      </w:r>
      <w:r w:rsidRPr="00386208">
        <w:rPr>
          <w:bCs/>
          <w:sz w:val="28"/>
          <w:szCs w:val="28"/>
        </w:rPr>
        <w:t>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– исполнить положения социального контракта в полном объеме, включая программу социальной адаптации.</w:t>
      </w:r>
    </w:p>
    <w:p w:rsidR="00C30691" w:rsidRPr="00386208" w:rsidRDefault="00C30691" w:rsidP="0094741A">
      <w:pPr>
        <w:jc w:val="both"/>
        <w:rPr>
          <w:bCs/>
          <w:sz w:val="28"/>
          <w:szCs w:val="28"/>
        </w:rPr>
      </w:pPr>
      <w:r w:rsidRPr="0094741A">
        <w:rPr>
          <w:bCs/>
          <w:sz w:val="28"/>
          <w:szCs w:val="28"/>
        </w:rPr>
        <w:t>Программа социальной адаптации</w:t>
      </w:r>
      <w:r w:rsidRPr="00386208">
        <w:rPr>
          <w:bCs/>
          <w:sz w:val="28"/>
          <w:szCs w:val="28"/>
        </w:rPr>
        <w:t xml:space="preserve"> – разработанные органом социальной защиты населения совместно с гражданином и иными учреждениями мероприятия, которые направлены на повышение среднедушевых доходов гражданина (или его семьи)</w:t>
      </w:r>
    </w:p>
    <w:p w:rsidR="00C30691" w:rsidRPr="00386208" w:rsidRDefault="00C30691" w:rsidP="0094741A">
      <w:pPr>
        <w:jc w:val="both"/>
        <w:rPr>
          <w:bCs/>
          <w:sz w:val="28"/>
          <w:szCs w:val="28"/>
        </w:rPr>
      </w:pPr>
      <w:r w:rsidRPr="0094741A">
        <w:rPr>
          <w:bCs/>
          <w:sz w:val="28"/>
          <w:szCs w:val="28"/>
        </w:rPr>
        <w:t>Категории граждан,</w:t>
      </w:r>
      <w:r w:rsidRPr="00386208">
        <w:rPr>
          <w:bCs/>
          <w:sz w:val="28"/>
          <w:szCs w:val="28"/>
        </w:rPr>
        <w:t xml:space="preserve"> имеющие право на оказание государственной социальной помощи, в том числе на основании социального контракта:</w:t>
      </w:r>
    </w:p>
    <w:p w:rsidR="00C30691" w:rsidRPr="00386208" w:rsidRDefault="00C30691" w:rsidP="0094741A">
      <w:pPr>
        <w:jc w:val="both"/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>малоимущие семьи, малоимущие одиноко проживающие граждане при условии, что наличие дохода семьи (гражданина) ниже величины прожиточного минимума обусловлено объективными обстоятельствами, не зависящими от них самих.</w:t>
      </w:r>
    </w:p>
    <w:p w:rsidR="00C30691" w:rsidRPr="0094741A" w:rsidRDefault="00C30691" w:rsidP="0094741A">
      <w:pPr>
        <w:rPr>
          <w:bCs/>
          <w:sz w:val="28"/>
          <w:szCs w:val="28"/>
        </w:rPr>
      </w:pPr>
      <w:r w:rsidRPr="0094741A">
        <w:rPr>
          <w:bCs/>
          <w:sz w:val="28"/>
          <w:szCs w:val="28"/>
        </w:rPr>
        <w:t>Объективными обстоятельствами, не зависящими от граждан, являются: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 xml:space="preserve">- инвалидность, 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 xml:space="preserve">- потеря кормильца, 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 xml:space="preserve">- безработица, 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>- утрата (повреждение) движимого имущества,</w:t>
      </w:r>
      <w:r>
        <w:rPr>
          <w:bCs/>
          <w:sz w:val="28"/>
          <w:szCs w:val="28"/>
        </w:rPr>
        <w:t xml:space="preserve"> </w:t>
      </w:r>
      <w:r w:rsidRPr="00386208">
        <w:rPr>
          <w:bCs/>
          <w:sz w:val="28"/>
          <w:szCs w:val="28"/>
        </w:rPr>
        <w:t xml:space="preserve"> повреждение жилого помещения, утрата (разрушение) жилого помещения, 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>- 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бюджета, областного бюджета,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 xml:space="preserve">- длительное и (или) дорогостоящее лечение, 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>- уход за ребенком в возрасте от 1,5 до 3 лет, ребенком-инвалидом, инвалидом I группы и тому подобное.</w:t>
      </w:r>
    </w:p>
    <w:p w:rsidR="00C30691" w:rsidRPr="004E7A56" w:rsidRDefault="00C30691" w:rsidP="00947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этом году</w:t>
      </w:r>
      <w:r w:rsidRPr="00386208">
        <w:rPr>
          <w:bCs/>
          <w:sz w:val="28"/>
          <w:szCs w:val="28"/>
        </w:rPr>
        <w:t xml:space="preserve"> предусмотрено выделение средств федерального бюджета на софинансирование мероприятий субъектов РФ по оказанию государственной социальной помощи на основании социального контракта. </w:t>
      </w:r>
    </w:p>
    <w:p w:rsidR="00C30691" w:rsidRPr="0094741A" w:rsidRDefault="00C30691" w:rsidP="0094741A">
      <w:pPr>
        <w:rPr>
          <w:bCs/>
          <w:sz w:val="28"/>
          <w:szCs w:val="28"/>
        </w:rPr>
      </w:pPr>
      <w:r w:rsidRPr="0094741A">
        <w:rPr>
          <w:bCs/>
          <w:sz w:val="28"/>
          <w:szCs w:val="28"/>
        </w:rPr>
        <w:t>Основная цель социального контракта- это стимулирование гражданина к активным действиям по преодолению трудной жизненной ситуации.</w:t>
      </w:r>
    </w:p>
    <w:p w:rsidR="00C30691" w:rsidRPr="0094741A" w:rsidRDefault="00C30691" w:rsidP="0094741A">
      <w:pPr>
        <w:rPr>
          <w:bCs/>
          <w:sz w:val="28"/>
          <w:szCs w:val="28"/>
        </w:rPr>
      </w:pPr>
      <w:r w:rsidRPr="0094741A">
        <w:rPr>
          <w:bCs/>
          <w:sz w:val="28"/>
          <w:szCs w:val="28"/>
        </w:rPr>
        <w:t>Основное требование к конечному результату оказания государственной социальной помощи на основании социального контракта с целью оценки его эффективности:</w:t>
      </w:r>
    </w:p>
    <w:p w:rsidR="00C30691" w:rsidRPr="00386208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 xml:space="preserve">1. Повышение денежных доходов гражданина (семьи гражданина) по истечении срока действия социального контракта; </w:t>
      </w:r>
    </w:p>
    <w:p w:rsidR="00C30691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>2. Преодоление гражданином (семьей гражданина) трудной жизненной ситуации по истечении срока действия социального контракта</w:t>
      </w:r>
    </w:p>
    <w:p w:rsidR="00C30691" w:rsidRDefault="00C30691" w:rsidP="00947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13 июля </w:t>
      </w:r>
      <w:r w:rsidRPr="00E839E5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 заключены 150 социальных контрактов с гражданами, проживающими на территории Тулунского района. Из них:</w:t>
      </w:r>
    </w:p>
    <w:p w:rsidR="00C30691" w:rsidRPr="00CC283E" w:rsidRDefault="00C30691" w:rsidP="00947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C283E">
        <w:rPr>
          <w:bCs/>
          <w:sz w:val="28"/>
          <w:szCs w:val="28"/>
        </w:rPr>
        <w:t xml:space="preserve">1 чел. </w:t>
      </w:r>
      <w:r>
        <w:rPr>
          <w:bCs/>
          <w:sz w:val="28"/>
          <w:szCs w:val="28"/>
        </w:rPr>
        <w:t>(14%)</w:t>
      </w:r>
      <w:r w:rsidRPr="00CC283E">
        <w:rPr>
          <w:bCs/>
          <w:sz w:val="28"/>
          <w:szCs w:val="28"/>
        </w:rPr>
        <w:t xml:space="preserve">– открытие ИП </w:t>
      </w:r>
    </w:p>
    <w:p w:rsidR="00C30691" w:rsidRDefault="00C30691" w:rsidP="0094741A">
      <w:pPr>
        <w:rPr>
          <w:bCs/>
          <w:sz w:val="28"/>
          <w:szCs w:val="28"/>
        </w:rPr>
      </w:pPr>
      <w:r w:rsidRPr="00CC28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CC283E">
        <w:rPr>
          <w:bCs/>
          <w:sz w:val="28"/>
          <w:szCs w:val="28"/>
        </w:rPr>
        <w:t xml:space="preserve"> чел.</w:t>
      </w:r>
      <w:r>
        <w:rPr>
          <w:bCs/>
          <w:sz w:val="28"/>
          <w:szCs w:val="28"/>
        </w:rPr>
        <w:t>( 25%)</w:t>
      </w:r>
      <w:r w:rsidRPr="00CC283E">
        <w:rPr>
          <w:bCs/>
          <w:sz w:val="28"/>
          <w:szCs w:val="28"/>
        </w:rPr>
        <w:t xml:space="preserve">- на иные мероприятия по преодолению трудной жизненной ситуации </w:t>
      </w:r>
    </w:p>
    <w:p w:rsidR="00C30691" w:rsidRDefault="00C30691" w:rsidP="00947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5D2DF3">
        <w:rPr>
          <w:bCs/>
          <w:sz w:val="28"/>
          <w:szCs w:val="28"/>
        </w:rPr>
        <w:t xml:space="preserve"> чел.</w:t>
      </w:r>
      <w:r>
        <w:rPr>
          <w:bCs/>
          <w:sz w:val="28"/>
          <w:szCs w:val="28"/>
        </w:rPr>
        <w:t>(22%)</w:t>
      </w:r>
      <w:r w:rsidRPr="005D2DF3">
        <w:rPr>
          <w:bCs/>
          <w:sz w:val="28"/>
          <w:szCs w:val="28"/>
        </w:rPr>
        <w:t>-поиск работы</w:t>
      </w:r>
    </w:p>
    <w:p w:rsidR="00C30691" w:rsidRDefault="00C30691" w:rsidP="00947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57 чел.(38%)- на развитие личного подсобного хозяйства</w:t>
      </w:r>
    </w:p>
    <w:p w:rsidR="00C30691" w:rsidRPr="00CC283E" w:rsidRDefault="00C30691" w:rsidP="009474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освоено 15686400 рублей (100%)</w:t>
      </w:r>
    </w:p>
    <w:p w:rsidR="00C30691" w:rsidRPr="008C48B4" w:rsidRDefault="00C30691" w:rsidP="0094741A">
      <w:pPr>
        <w:rPr>
          <w:bCs/>
          <w:sz w:val="28"/>
          <w:szCs w:val="28"/>
        </w:rPr>
      </w:pPr>
      <w:r w:rsidRPr="00386208">
        <w:rPr>
          <w:bCs/>
          <w:sz w:val="28"/>
          <w:szCs w:val="28"/>
        </w:rPr>
        <w:t>Социальный контракт – это существенная помощь малообеспеченным семьям, и она достигается не просто за счёт дене</w:t>
      </w:r>
      <w:r>
        <w:rPr>
          <w:bCs/>
          <w:sz w:val="28"/>
          <w:szCs w:val="28"/>
        </w:rPr>
        <w:t>жной помощи. Очень важно, чтобы люди самостоятельно прилагали</w:t>
      </w:r>
      <w:r w:rsidRPr="00386208">
        <w:rPr>
          <w:bCs/>
          <w:sz w:val="28"/>
          <w:szCs w:val="28"/>
        </w:rPr>
        <w:t xml:space="preserve"> усилия для изменения ситуации— устраиваются на работу, развивают личное подсобное хозяйство, стараются обеспечить свою семью. Мы даем человеку инструменты, которые он может использовать, чтобы выйти из тяжелой жизненной ситуации. А дальше необходимо действовать самому, самому нести ответственность за свою жизнь, за благополучие своей семьи. Сегодня для многих семей социальный контракт -   это шанс начать новую жизнь. </w:t>
      </w:r>
    </w:p>
    <w:p w:rsidR="00C30691" w:rsidRPr="007D43BD" w:rsidRDefault="00C30691" w:rsidP="0094741A">
      <w:pPr>
        <w:pStyle w:val="NormalWeb"/>
        <w:jc w:val="both"/>
        <w:rPr>
          <w:b/>
          <w:sz w:val="28"/>
          <w:szCs w:val="28"/>
        </w:rPr>
      </w:pPr>
      <w:r w:rsidRPr="007D43BD">
        <w:rPr>
          <w:b/>
          <w:sz w:val="28"/>
          <w:szCs w:val="28"/>
        </w:rPr>
        <w:t>По вопросу 4.</w:t>
      </w:r>
    </w:p>
    <w:p w:rsidR="00C30691" w:rsidRDefault="00C30691" w:rsidP="005E2BF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Выступила: Васильева С.В. – директор ОГКУ ЦЗН города Тулуна. </w:t>
      </w:r>
      <w:r>
        <w:rPr>
          <w:sz w:val="28"/>
          <w:szCs w:val="28"/>
          <w:lang w:eastAsia="en-US"/>
        </w:rPr>
        <w:t>П</w:t>
      </w:r>
      <w:r w:rsidRPr="00E5592D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>ем</w:t>
      </w:r>
      <w:r w:rsidRPr="00E5592D">
        <w:rPr>
          <w:sz w:val="28"/>
          <w:szCs w:val="28"/>
          <w:lang w:eastAsia="en-US"/>
        </w:rPr>
        <w:t xml:space="preserve"> Правительства Российской Федерации от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</w:t>
      </w:r>
      <w:r>
        <w:rPr>
          <w:sz w:val="28"/>
          <w:szCs w:val="28"/>
          <w:lang w:eastAsia="en-US"/>
        </w:rPr>
        <w:t xml:space="preserve"> утверждены правила  предоставление субсидий Фондом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C30691" w:rsidRDefault="00C30691" w:rsidP="005E2BFC">
      <w:pPr>
        <w:ind w:firstLine="567"/>
        <w:jc w:val="both"/>
        <w:rPr>
          <w:sz w:val="28"/>
          <w:szCs w:val="28"/>
        </w:rPr>
      </w:pPr>
      <w:r w:rsidRPr="00A60A8B">
        <w:rPr>
          <w:sz w:val="28"/>
          <w:szCs w:val="28"/>
          <w:lang w:eastAsia="en-US"/>
        </w:rPr>
        <w:t xml:space="preserve">Субсидии предоставляются индивидуальным предпринимателям </w:t>
      </w:r>
      <w:r>
        <w:rPr>
          <w:sz w:val="28"/>
          <w:szCs w:val="28"/>
          <w:lang w:eastAsia="en-US"/>
        </w:rPr>
        <w:t xml:space="preserve">и </w:t>
      </w:r>
      <w:r w:rsidRPr="00A60A8B">
        <w:rPr>
          <w:sz w:val="28"/>
          <w:szCs w:val="28"/>
          <w:lang w:eastAsia="en-US"/>
        </w:rPr>
        <w:t>юридическим лицам</w:t>
      </w:r>
      <w:r>
        <w:rPr>
          <w:sz w:val="28"/>
          <w:szCs w:val="28"/>
          <w:lang w:eastAsia="en-US"/>
        </w:rPr>
        <w:t>, кроме бюджетных, автономных  и казенных учреждений</w:t>
      </w:r>
      <w:r w:rsidRPr="00A60A8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получившим</w:t>
      </w:r>
      <w:r w:rsidRPr="00B03117">
        <w:rPr>
          <w:sz w:val="28"/>
          <w:szCs w:val="28"/>
          <w:lang w:eastAsia="en-US"/>
        </w:rPr>
        <w:t xml:space="preserve"> государственную регистрацию юридического лица  либо индивидуального предпринимателя до 1 января 2021 года</w:t>
      </w:r>
      <w:r>
        <w:rPr>
          <w:sz w:val="28"/>
          <w:szCs w:val="28"/>
          <w:lang w:eastAsia="en-US"/>
        </w:rPr>
        <w:t xml:space="preserve">, </w:t>
      </w:r>
      <w:r w:rsidRPr="00A60A8B">
        <w:rPr>
          <w:sz w:val="28"/>
          <w:szCs w:val="28"/>
          <w:lang w:eastAsia="en-US"/>
        </w:rPr>
        <w:t>отвечающ</w:t>
      </w:r>
      <w:r>
        <w:rPr>
          <w:sz w:val="28"/>
          <w:szCs w:val="28"/>
          <w:lang w:eastAsia="en-US"/>
        </w:rPr>
        <w:t xml:space="preserve">им </w:t>
      </w:r>
      <w:r w:rsidRPr="00A60A8B">
        <w:rPr>
          <w:sz w:val="28"/>
          <w:szCs w:val="28"/>
          <w:lang w:eastAsia="en-US"/>
        </w:rPr>
        <w:t xml:space="preserve">требованиям </w:t>
      </w:r>
      <w:r>
        <w:rPr>
          <w:sz w:val="28"/>
          <w:szCs w:val="28"/>
          <w:lang w:eastAsia="en-US"/>
        </w:rPr>
        <w:t xml:space="preserve"> выше указанного П</w:t>
      </w:r>
      <w:r w:rsidRPr="00A60A8B">
        <w:rPr>
          <w:sz w:val="28"/>
          <w:szCs w:val="28"/>
          <w:lang w:eastAsia="en-US"/>
        </w:rPr>
        <w:t>остановления</w:t>
      </w:r>
      <w:r>
        <w:rPr>
          <w:sz w:val="28"/>
          <w:szCs w:val="28"/>
          <w:lang w:eastAsia="en-US"/>
        </w:rPr>
        <w:t xml:space="preserve">, которые </w:t>
      </w:r>
      <w:r w:rsidRPr="00A60A8B">
        <w:rPr>
          <w:sz w:val="28"/>
          <w:szCs w:val="28"/>
          <w:lang w:eastAsia="en-US"/>
        </w:rPr>
        <w:t xml:space="preserve">подали заявку о наличии свободных рабочих мест и вакантных должностей посредством общероссийского информационного портала Федеральной службы по труду и занятости – «Работа в России» </w:t>
      </w:r>
      <w:r w:rsidRPr="00A60A8B">
        <w:rPr>
          <w:sz w:val="28"/>
          <w:szCs w:val="28"/>
          <w:u w:val="single"/>
          <w:lang w:val="en-US" w:eastAsia="en-US"/>
        </w:rPr>
        <w:t>www</w:t>
      </w:r>
      <w:r w:rsidRPr="00A60A8B">
        <w:rPr>
          <w:sz w:val="28"/>
          <w:szCs w:val="28"/>
          <w:u w:val="single"/>
          <w:lang w:eastAsia="en-US"/>
        </w:rPr>
        <w:t>.</w:t>
      </w:r>
      <w:r w:rsidRPr="00A60A8B">
        <w:rPr>
          <w:sz w:val="28"/>
          <w:szCs w:val="28"/>
          <w:u w:val="single"/>
          <w:lang w:val="en-US" w:eastAsia="en-US"/>
        </w:rPr>
        <w:t>trudvsem</w:t>
      </w:r>
      <w:r w:rsidRPr="00A60A8B">
        <w:rPr>
          <w:sz w:val="28"/>
          <w:szCs w:val="28"/>
          <w:u w:val="single"/>
          <w:lang w:eastAsia="en-US"/>
        </w:rPr>
        <w:t>.</w:t>
      </w:r>
      <w:r w:rsidRPr="00A60A8B">
        <w:rPr>
          <w:sz w:val="28"/>
          <w:szCs w:val="28"/>
          <w:u w:val="single"/>
          <w:lang w:val="en-US" w:eastAsia="en-US"/>
        </w:rPr>
        <w:t>ru</w:t>
      </w:r>
      <w:r w:rsidRPr="00A60A8B">
        <w:rPr>
          <w:sz w:val="28"/>
          <w:szCs w:val="28"/>
          <w:lang w:eastAsia="en-US"/>
        </w:rPr>
        <w:t xml:space="preserve"> (далее – Портал) и трудоустроили безработных граждан</w:t>
      </w:r>
      <w:r>
        <w:rPr>
          <w:sz w:val="28"/>
          <w:szCs w:val="28"/>
          <w:lang w:eastAsia="en-US"/>
        </w:rPr>
        <w:t>.</w:t>
      </w:r>
    </w:p>
    <w:p w:rsidR="00C30691" w:rsidRPr="005E2BFC" w:rsidRDefault="00C30691" w:rsidP="005E2BFC">
      <w:pPr>
        <w:rPr>
          <w:sz w:val="28"/>
          <w:szCs w:val="28"/>
          <w:lang w:eastAsia="en-US"/>
        </w:rPr>
      </w:pPr>
      <w:r w:rsidRPr="005E2BFC">
        <w:rPr>
          <w:sz w:val="28"/>
          <w:szCs w:val="28"/>
          <w:lang w:eastAsia="en-US"/>
        </w:rPr>
        <w:t>Условия предоставления субсидии:</w:t>
      </w:r>
    </w:p>
    <w:p w:rsidR="00C30691" w:rsidRPr="00A60A8B" w:rsidRDefault="00C30691" w:rsidP="005E2BFC">
      <w:pPr>
        <w:jc w:val="both"/>
        <w:rPr>
          <w:sz w:val="28"/>
          <w:szCs w:val="28"/>
          <w:lang w:eastAsia="en-US"/>
        </w:rPr>
      </w:pPr>
      <w:r w:rsidRPr="00A60A8B">
        <w:rPr>
          <w:sz w:val="28"/>
          <w:szCs w:val="28"/>
          <w:lang w:eastAsia="en-US"/>
        </w:rPr>
        <w:tab/>
        <w:t>Для включения в реестр Фонда социального страхования  по получению субсидии работодатель должен соответствовать определенным требованиям (в том числе  работодатель не является юридическим лицом с долей участия свыше 50% иностранных юридических лиц с местом их регистрации в оффшорных территориях, отсутствие неисполненной обязанности по уплате обязательных платежей в бюджеты);</w:t>
      </w:r>
    </w:p>
    <w:p w:rsidR="00C30691" w:rsidRPr="00A60A8B" w:rsidRDefault="00C30691" w:rsidP="005E2BFC">
      <w:pPr>
        <w:jc w:val="both"/>
        <w:rPr>
          <w:sz w:val="28"/>
          <w:szCs w:val="28"/>
          <w:lang w:eastAsia="en-US"/>
        </w:rPr>
      </w:pPr>
      <w:r w:rsidRPr="00A60A8B">
        <w:rPr>
          <w:sz w:val="28"/>
          <w:szCs w:val="28"/>
          <w:lang w:eastAsia="en-US"/>
        </w:rPr>
        <w:tab/>
        <w:t>- трудоустройство безработных граждан осуществляется на условиях полного рабочего дня и выплаты заработной платы не ниже МРОТ;</w:t>
      </w:r>
    </w:p>
    <w:p w:rsidR="00C30691" w:rsidRDefault="00C30691" w:rsidP="005E2BFC">
      <w:pPr>
        <w:jc w:val="both"/>
        <w:rPr>
          <w:sz w:val="28"/>
          <w:szCs w:val="28"/>
          <w:lang w:eastAsia="en-US"/>
        </w:rPr>
      </w:pPr>
      <w:r w:rsidRPr="00A60A8B">
        <w:rPr>
          <w:sz w:val="28"/>
          <w:szCs w:val="28"/>
          <w:lang w:eastAsia="en-US"/>
        </w:rPr>
        <w:tab/>
        <w:t xml:space="preserve">- сохранение работодателем занятости трудоустроенных работников на 15 декабря 2021 года не менее 80%. </w:t>
      </w:r>
    </w:p>
    <w:p w:rsidR="00C30691" w:rsidRPr="00A60A8B" w:rsidRDefault="00C30691" w:rsidP="005E2BFC">
      <w:pPr>
        <w:ind w:firstLine="708"/>
        <w:jc w:val="both"/>
        <w:rPr>
          <w:sz w:val="28"/>
          <w:szCs w:val="28"/>
          <w:lang w:eastAsia="en-US"/>
        </w:rPr>
      </w:pPr>
      <w:r w:rsidRPr="00A60A8B">
        <w:rPr>
          <w:sz w:val="28"/>
          <w:szCs w:val="28"/>
          <w:lang w:eastAsia="en-US"/>
        </w:rPr>
        <w:t>Размер субсидии определяется как произведение величины МРОТ, увеличенной на сумму страховых взносов во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C30691" w:rsidRPr="005E2BFC" w:rsidRDefault="00C30691" w:rsidP="005E2BFC">
      <w:pPr>
        <w:jc w:val="both"/>
        <w:rPr>
          <w:sz w:val="28"/>
          <w:szCs w:val="28"/>
          <w:lang w:eastAsia="en-US"/>
        </w:rPr>
      </w:pPr>
      <w:r w:rsidRPr="005E2BFC">
        <w:rPr>
          <w:sz w:val="28"/>
          <w:szCs w:val="28"/>
          <w:lang w:eastAsia="en-US"/>
        </w:rPr>
        <w:t>Категория безработных граждан:</w:t>
      </w:r>
    </w:p>
    <w:p w:rsidR="00C30691" w:rsidRDefault="00C30691" w:rsidP="005E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зарегистрированные  в органах службы занятости в качестве безработных граждан на 01.01.2021 года или зарегистрированы в органах службы занятости в качестве безработных граждан и относятся к категории граждан, завершивших в 2020 году обучение по основным образовательным программам высшего образования и среднего профессионального образования</w:t>
      </w:r>
    </w:p>
    <w:p w:rsidR="00C30691" w:rsidRDefault="00C30691" w:rsidP="005E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по трудоустройству граждан в соответствии с Постановлением Правительства Российской Федерации от 13 марта 2021 года № 362 для ОГКУ ЦЗН города Тулуна составляет – 39 человек.</w:t>
      </w:r>
    </w:p>
    <w:p w:rsidR="00C30691" w:rsidRPr="00454466" w:rsidRDefault="00C30691" w:rsidP="005E2BF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состоянию на 04.08.2021 года  23 работодателя </w:t>
      </w:r>
      <w:r w:rsidRPr="00454466">
        <w:rPr>
          <w:sz w:val="28"/>
          <w:szCs w:val="28"/>
          <w:lang w:eastAsia="en-US"/>
        </w:rPr>
        <w:t>города Тулуна и Тулунского района подали заявки о наличии свободных рабочих мест и заявления о желании участвовать в программе государственной поддержки в 2021 году при трудоустройстве безработных граждан</w:t>
      </w:r>
      <w:r>
        <w:rPr>
          <w:sz w:val="28"/>
          <w:szCs w:val="28"/>
          <w:lang w:eastAsia="en-US"/>
        </w:rPr>
        <w:t xml:space="preserve">. </w:t>
      </w:r>
      <w:r w:rsidRPr="00454466">
        <w:rPr>
          <w:sz w:val="28"/>
          <w:szCs w:val="28"/>
          <w:lang w:eastAsia="en-US"/>
        </w:rPr>
        <w:t xml:space="preserve">Количество заявленных вакантных должностей – </w:t>
      </w:r>
      <w:r>
        <w:rPr>
          <w:sz w:val="28"/>
          <w:szCs w:val="28"/>
          <w:lang w:eastAsia="en-US"/>
        </w:rPr>
        <w:t>30</w:t>
      </w:r>
      <w:r w:rsidRPr="00454466">
        <w:rPr>
          <w:sz w:val="28"/>
          <w:szCs w:val="28"/>
          <w:lang w:eastAsia="en-US"/>
        </w:rPr>
        <w:t xml:space="preserve">, количество заявленных рабочих мест составляет – </w:t>
      </w:r>
      <w:r>
        <w:rPr>
          <w:sz w:val="28"/>
          <w:szCs w:val="28"/>
          <w:lang w:eastAsia="en-US"/>
        </w:rPr>
        <w:t>57</w:t>
      </w:r>
      <w:r w:rsidRPr="00454466">
        <w:rPr>
          <w:sz w:val="28"/>
          <w:szCs w:val="28"/>
          <w:lang w:eastAsia="en-US"/>
        </w:rPr>
        <w:t xml:space="preserve">. Трудоустроено – </w:t>
      </w:r>
      <w:r>
        <w:rPr>
          <w:sz w:val="28"/>
          <w:szCs w:val="28"/>
          <w:lang w:eastAsia="en-US"/>
        </w:rPr>
        <w:t>22</w:t>
      </w:r>
      <w:r w:rsidRPr="00454466">
        <w:rPr>
          <w:sz w:val="28"/>
          <w:szCs w:val="28"/>
          <w:lang w:eastAsia="en-US"/>
        </w:rPr>
        <w:t xml:space="preserve">  человек</w:t>
      </w:r>
      <w:r>
        <w:rPr>
          <w:sz w:val="28"/>
          <w:szCs w:val="28"/>
          <w:lang w:eastAsia="en-US"/>
        </w:rPr>
        <w:t>а</w:t>
      </w:r>
      <w:r w:rsidRPr="00454466">
        <w:rPr>
          <w:sz w:val="28"/>
          <w:szCs w:val="28"/>
          <w:lang w:eastAsia="en-US"/>
        </w:rPr>
        <w:t>.</w:t>
      </w:r>
    </w:p>
    <w:p w:rsidR="00C30691" w:rsidRDefault="00C30691" w:rsidP="005E2BF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Тулунскому району 6 работодателей </w:t>
      </w:r>
      <w:r w:rsidRPr="00454466">
        <w:rPr>
          <w:sz w:val="28"/>
          <w:szCs w:val="28"/>
          <w:lang w:eastAsia="en-US"/>
        </w:rPr>
        <w:t>подали заявки о наличии свободных рабочих мест и заявления о желании участвовать в программе</w:t>
      </w:r>
      <w:r>
        <w:rPr>
          <w:sz w:val="28"/>
          <w:szCs w:val="28"/>
          <w:lang w:eastAsia="en-US"/>
        </w:rPr>
        <w:t xml:space="preserve">. </w:t>
      </w:r>
    </w:p>
    <w:p w:rsidR="00C30691" w:rsidRDefault="00C30691" w:rsidP="005E2BFC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953"/>
      </w:tblGrid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Количество граждан трудоустроенных по программе субсидирование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ИП Сизых Л.Н.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2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ИП Хохлов  А.А.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0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ИП Пущин С.В.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1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КФХ Столяров Н.М.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1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КФХ Тюков  В.Ю.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4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КФХ Кобрусев Д.В.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sz w:val="28"/>
                <w:szCs w:val="28"/>
              </w:rPr>
            </w:pPr>
            <w:r w:rsidRPr="00C34E99">
              <w:rPr>
                <w:sz w:val="28"/>
                <w:szCs w:val="28"/>
              </w:rPr>
              <w:t>1</w:t>
            </w:r>
          </w:p>
        </w:tc>
      </w:tr>
      <w:tr w:rsidR="00C30691" w:rsidRPr="00C34E99" w:rsidTr="00E3624C">
        <w:tc>
          <w:tcPr>
            <w:tcW w:w="3794" w:type="dxa"/>
          </w:tcPr>
          <w:p w:rsidR="00C30691" w:rsidRPr="00C34E99" w:rsidRDefault="00C30691" w:rsidP="00E3624C">
            <w:pPr>
              <w:jc w:val="both"/>
              <w:rPr>
                <w:b/>
                <w:sz w:val="28"/>
                <w:szCs w:val="28"/>
              </w:rPr>
            </w:pPr>
            <w:r w:rsidRPr="00C34E99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5953" w:type="dxa"/>
          </w:tcPr>
          <w:p w:rsidR="00C30691" w:rsidRPr="00C34E99" w:rsidRDefault="00C30691" w:rsidP="00E3624C">
            <w:pPr>
              <w:jc w:val="center"/>
              <w:rPr>
                <w:b/>
                <w:sz w:val="28"/>
                <w:szCs w:val="28"/>
              </w:rPr>
            </w:pPr>
            <w:r w:rsidRPr="00C34E99">
              <w:rPr>
                <w:b/>
                <w:sz w:val="28"/>
                <w:szCs w:val="28"/>
              </w:rPr>
              <w:t>9</w:t>
            </w:r>
          </w:p>
        </w:tc>
      </w:tr>
    </w:tbl>
    <w:p w:rsidR="00C30691" w:rsidRPr="007D43BD" w:rsidRDefault="00C30691" w:rsidP="0094741A">
      <w:pPr>
        <w:pStyle w:val="NormalWeb"/>
        <w:jc w:val="both"/>
        <w:rPr>
          <w:b/>
          <w:sz w:val="28"/>
          <w:szCs w:val="28"/>
        </w:rPr>
      </w:pPr>
      <w:r w:rsidRPr="007D43BD">
        <w:rPr>
          <w:b/>
          <w:sz w:val="28"/>
          <w:szCs w:val="28"/>
        </w:rPr>
        <w:t>По вопросу 5.</w:t>
      </w:r>
    </w:p>
    <w:p w:rsidR="00C30691" w:rsidRDefault="00C30691" w:rsidP="00E83AB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Выступил: Вознюк А.В. – председатель Комитета по управлению имуществом администрации Тулунского муниципального района.</w:t>
      </w:r>
      <w:r w:rsidRPr="00E83AB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муниципального имущества, предназначенного для передачи во владение или пользование субъектам МСП утвержден 12.01.2018 г. распоряжением Администрации Тулунского муниципального района № 3-рг,</w:t>
      </w:r>
      <w:r>
        <w:rPr>
          <w:color w:val="000000"/>
          <w:sz w:val="28"/>
          <w:szCs w:val="28"/>
          <w:shd w:val="clear" w:color="auto" w:fill="FFFFFF"/>
        </w:rPr>
        <w:t xml:space="preserve"> в него вошли три единицы сельскохозяйственной техники: картофелекопатель, сеялка, лущильник.</w:t>
      </w:r>
      <w:r>
        <w:rPr>
          <w:sz w:val="28"/>
          <w:szCs w:val="28"/>
        </w:rPr>
        <w:t xml:space="preserve"> Изменения в реестр с момента утверждения не вносились, заявлений о предоставлении имущества от субьектов МСП не поступало. </w:t>
      </w:r>
    </w:p>
    <w:p w:rsidR="00C30691" w:rsidRPr="00E83ABF" w:rsidRDefault="00C30691" w:rsidP="00E83AB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ABF">
        <w:rPr>
          <w:rFonts w:ascii="Times New Roman" w:hAnsi="Times New Roman" w:cs="Times New Roman"/>
          <w:b w:val="0"/>
          <w:sz w:val="28"/>
          <w:szCs w:val="28"/>
        </w:rPr>
        <w:t>Нормативно-правовые акты, принятые в 2018 году, определяющие п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>рядок формирования, ведения и обязательного опубликования перечней м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>ниципального имущества и порядок предоставления в аренду имущества, включенного в перечни муниципального имущества, отменены, в связи с з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 xml:space="preserve">мечаниями правовой </w:t>
      </w:r>
      <w:r w:rsidRPr="00E83A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экспертизы </w:t>
      </w:r>
      <w:r w:rsidRPr="00E83ABF">
        <w:rPr>
          <w:rStyle w:val="Strong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Иркутского ОГКУ «Институт законод</w:t>
      </w:r>
      <w:r w:rsidRPr="00E83ABF">
        <w:rPr>
          <w:rStyle w:val="Strong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E83ABF">
        <w:rPr>
          <w:rStyle w:val="Strong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тельства и правовой информации имени М.М. Сперанского»</w:t>
      </w:r>
      <w:r w:rsidRPr="00E83AB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В новой реда</w:t>
      </w:r>
      <w:r w:rsidRPr="00E83AB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r w:rsidRPr="00E83AB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ции нормативно-правовой акт разработан, с рассмотрения Думой Тулунского муниципального района в июне 2021 года был снят, в связи замечаниями прокуратуры по проекту НПА, в настоящий момент доработан с учетом всех последний изменений законодательства, направлен председателю районной Думы, планируется к принятию в </w:t>
      </w:r>
      <w:r w:rsidRPr="00E83ABF">
        <w:rPr>
          <w:rFonts w:ascii="Times New Roman" w:hAnsi="Times New Roman" w:cs="Times New Roman"/>
          <w:b w:val="0"/>
          <w:sz w:val="28"/>
          <w:szCs w:val="28"/>
        </w:rPr>
        <w:t>сентябре 2021 года на очередном плановом заседании Думы.</w:t>
      </w:r>
    </w:p>
    <w:p w:rsidR="00C30691" w:rsidRPr="00E83ABF" w:rsidRDefault="00C30691" w:rsidP="00E83ABF">
      <w:pPr>
        <w:pStyle w:val="ConsPlusNormal"/>
        <w:suppressAutoHyphens/>
        <w:ind w:firstLine="540"/>
        <w:jc w:val="both"/>
        <w:rPr>
          <w:b w:val="0"/>
          <w:sz w:val="28"/>
          <w:szCs w:val="28"/>
        </w:rPr>
      </w:pPr>
      <w:r w:rsidRPr="00E83ABF">
        <w:rPr>
          <w:rFonts w:ascii="Times New Roman" w:hAnsi="Times New Roman" w:cs="Times New Roman"/>
          <w:b w:val="0"/>
          <w:sz w:val="28"/>
          <w:szCs w:val="28"/>
        </w:rPr>
        <w:t>Проведен анализ муниципального имущества, закрепленного за муниципальными учреждениями, предприятиями, находящимися на территории Тулунского района. Имущества, подходящего для поддержки субъектов МСП, не выявлено. В период с 2008 по 2016 годы районная администрация активно осуществляла имущественную поддержку субъектов МСП, годное к эксплуатации арендуемое муниципальное имущество было выкуплено, таким образом поддержка субъектов МСП за счет имеющегося муниципального имущества была полностью исчерпана.</w:t>
      </w:r>
    </w:p>
    <w:p w:rsidR="00C30691" w:rsidRPr="00E83ABF" w:rsidRDefault="00C30691" w:rsidP="00E83ABF">
      <w:pPr>
        <w:pStyle w:val="ConsPlusNormal"/>
        <w:suppressAutoHyphens/>
        <w:ind w:firstLine="540"/>
        <w:jc w:val="both"/>
        <w:rPr>
          <w:b w:val="0"/>
          <w:sz w:val="28"/>
          <w:szCs w:val="28"/>
        </w:rPr>
      </w:pPr>
      <w:r w:rsidRPr="00E83ABF">
        <w:rPr>
          <w:rFonts w:ascii="Times New Roman" w:hAnsi="Times New Roman" w:cs="Times New Roman"/>
          <w:b w:val="0"/>
          <w:sz w:val="28"/>
          <w:szCs w:val="28"/>
        </w:rPr>
        <w:t>В настоящее время в качестве поддержки субьектам МСП актуальна востребованность на территории крупных населенных пунктов района зданий, отвечающих современным требованиям, благоустроенных, с полным набором инженерных систем и коммуникаций, в которых возможно организовать комбинированные центры общественного питания, бытового обслуживания: парикмахерские, приемные пункты по ремонту одежды, ремонту обуви, ремонту бытовой техники, химчистки, массажный кабинет, кафе. Также просматривается востребованность в строениях, подходящих для размещения мелкооптовой переработки сельскохозяйственной продукции: хлебопечение, изготовление полуфабрикатов, копчение, переработка молока и т.п..</w:t>
      </w:r>
    </w:p>
    <w:p w:rsidR="00C30691" w:rsidRPr="00E83ABF" w:rsidRDefault="00C30691" w:rsidP="00E83ABF">
      <w:pPr>
        <w:pStyle w:val="ConsPlusNormal"/>
        <w:suppressAutoHyphens/>
        <w:ind w:firstLine="567"/>
        <w:jc w:val="both"/>
        <w:rPr>
          <w:b w:val="0"/>
          <w:sz w:val="28"/>
          <w:szCs w:val="28"/>
        </w:rPr>
      </w:pPr>
      <w:r w:rsidRPr="00E83ABF">
        <w:rPr>
          <w:rFonts w:ascii="Times New Roman" w:hAnsi="Times New Roman" w:cs="Times New Roman"/>
          <w:b w:val="0"/>
          <w:sz w:val="28"/>
          <w:szCs w:val="28"/>
        </w:rPr>
        <w:t xml:space="preserve">Ввиду глубокой дефицитности местного бюджета органы местного самоуправления не имеют возможности выделения денежных средств для строительства таких объектов. Для увеличения количества объектов в перечнях муниципального имущества, требуется их строительство за счет средств федерального и областного бюджетов.  </w:t>
      </w:r>
    </w:p>
    <w:p w:rsidR="00C30691" w:rsidRPr="00E34BD9" w:rsidRDefault="00C30691" w:rsidP="0094741A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30691" w:rsidRPr="00E83ABF" w:rsidRDefault="00C30691" w:rsidP="0094741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Представленную на заседании Совета по развитию малого и среднего предпринимательства на территории Тулунского муниципального района ( далее- Совет) принять к сведению.</w:t>
      </w:r>
    </w:p>
    <w:p w:rsidR="00C30691" w:rsidRPr="00E83ABF" w:rsidRDefault="00C30691" w:rsidP="00E83ABF">
      <w:pPr>
        <w:pStyle w:val="NormalWeb"/>
        <w:jc w:val="both"/>
        <w:rPr>
          <w:sz w:val="28"/>
          <w:szCs w:val="28"/>
        </w:rPr>
      </w:pPr>
    </w:p>
    <w:p w:rsidR="00C30691" w:rsidRDefault="00C30691" w:rsidP="008102DE">
      <w:pPr>
        <w:tabs>
          <w:tab w:val="left" w:pos="1008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0691" w:rsidRDefault="00C30691" w:rsidP="0040097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30691" w:rsidRDefault="00C30691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C30691" w:rsidRDefault="00C30691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30691" w:rsidRDefault="00C30691" w:rsidP="009B695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103C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softHyphen/>
        <w:t>_____________       С.Н. Трус</w:t>
      </w:r>
    </w:p>
    <w:p w:rsidR="00C30691" w:rsidRDefault="00C30691" w:rsidP="009B695D">
      <w:pPr>
        <w:tabs>
          <w:tab w:val="left" w:pos="10080"/>
        </w:tabs>
        <w:jc w:val="both"/>
      </w:pPr>
      <w:r>
        <w:rPr>
          <w:sz w:val="28"/>
          <w:szCs w:val="28"/>
        </w:rPr>
        <w:t>ВрИО с</w:t>
      </w:r>
      <w:r w:rsidRPr="00B103C9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B103C9">
        <w:rPr>
          <w:sz w:val="28"/>
          <w:szCs w:val="28"/>
        </w:rPr>
        <w:t xml:space="preserve">  Совета</w:t>
      </w:r>
      <w:r>
        <w:rPr>
          <w:sz w:val="28"/>
          <w:szCs w:val="28"/>
        </w:rPr>
        <w:t xml:space="preserve">            _____________       Е.М.Семенова</w:t>
      </w:r>
    </w:p>
    <w:sectPr w:rsidR="00C30691" w:rsidSect="00675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51A"/>
    <w:multiLevelType w:val="hybridMultilevel"/>
    <w:tmpl w:val="07025BF4"/>
    <w:lvl w:ilvl="0" w:tplc="F4C0FC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0A26A0"/>
    <w:multiLevelType w:val="hybridMultilevel"/>
    <w:tmpl w:val="1FD8175A"/>
    <w:lvl w:ilvl="0" w:tplc="F050DCB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C3"/>
    <w:rsid w:val="00015F29"/>
    <w:rsid w:val="00017B3E"/>
    <w:rsid w:val="00036AF9"/>
    <w:rsid w:val="00081499"/>
    <w:rsid w:val="00082A2B"/>
    <w:rsid w:val="000864DD"/>
    <w:rsid w:val="000C3876"/>
    <w:rsid w:val="000D6835"/>
    <w:rsid w:val="000E618F"/>
    <w:rsid w:val="000E6891"/>
    <w:rsid w:val="000E73EE"/>
    <w:rsid w:val="00106F75"/>
    <w:rsid w:val="00122C37"/>
    <w:rsid w:val="001638DB"/>
    <w:rsid w:val="00190600"/>
    <w:rsid w:val="001A1284"/>
    <w:rsid w:val="001C4165"/>
    <w:rsid w:val="001E5ED6"/>
    <w:rsid w:val="00201707"/>
    <w:rsid w:val="00207AFB"/>
    <w:rsid w:val="002A3CA0"/>
    <w:rsid w:val="002C0FD0"/>
    <w:rsid w:val="002C57E2"/>
    <w:rsid w:val="002D05E4"/>
    <w:rsid w:val="002E1282"/>
    <w:rsid w:val="002E1F1D"/>
    <w:rsid w:val="002F58C3"/>
    <w:rsid w:val="0036580E"/>
    <w:rsid w:val="00382AE4"/>
    <w:rsid w:val="00386169"/>
    <w:rsid w:val="00386208"/>
    <w:rsid w:val="00394CAC"/>
    <w:rsid w:val="003D00F4"/>
    <w:rsid w:val="003D6F27"/>
    <w:rsid w:val="003E29C7"/>
    <w:rsid w:val="003E40A6"/>
    <w:rsid w:val="003E710B"/>
    <w:rsid w:val="00400156"/>
    <w:rsid w:val="00400973"/>
    <w:rsid w:val="00413BC1"/>
    <w:rsid w:val="00421B93"/>
    <w:rsid w:val="0042251E"/>
    <w:rsid w:val="00431730"/>
    <w:rsid w:val="00437E63"/>
    <w:rsid w:val="00443901"/>
    <w:rsid w:val="004464B2"/>
    <w:rsid w:val="00454466"/>
    <w:rsid w:val="0045500C"/>
    <w:rsid w:val="00463CFE"/>
    <w:rsid w:val="00470DC7"/>
    <w:rsid w:val="004732A7"/>
    <w:rsid w:val="00483236"/>
    <w:rsid w:val="004A3D9A"/>
    <w:rsid w:val="004E4AC2"/>
    <w:rsid w:val="004E7A56"/>
    <w:rsid w:val="00512E11"/>
    <w:rsid w:val="005431F1"/>
    <w:rsid w:val="005522CD"/>
    <w:rsid w:val="00581565"/>
    <w:rsid w:val="005A49C3"/>
    <w:rsid w:val="005B0905"/>
    <w:rsid w:val="005C321C"/>
    <w:rsid w:val="005D0DD0"/>
    <w:rsid w:val="005D2DF3"/>
    <w:rsid w:val="005D3DED"/>
    <w:rsid w:val="005E2BFC"/>
    <w:rsid w:val="00600459"/>
    <w:rsid w:val="006373C9"/>
    <w:rsid w:val="00637700"/>
    <w:rsid w:val="00657361"/>
    <w:rsid w:val="00675921"/>
    <w:rsid w:val="00675EA6"/>
    <w:rsid w:val="006968B9"/>
    <w:rsid w:val="00697D15"/>
    <w:rsid w:val="00697DB9"/>
    <w:rsid w:val="006A3746"/>
    <w:rsid w:val="006A5D7A"/>
    <w:rsid w:val="006A7FF6"/>
    <w:rsid w:val="006B33BB"/>
    <w:rsid w:val="006C4707"/>
    <w:rsid w:val="007022C3"/>
    <w:rsid w:val="007609F3"/>
    <w:rsid w:val="00786AE0"/>
    <w:rsid w:val="007B44A7"/>
    <w:rsid w:val="007C6CF3"/>
    <w:rsid w:val="007D0580"/>
    <w:rsid w:val="007D3EBB"/>
    <w:rsid w:val="007D43BD"/>
    <w:rsid w:val="008102DE"/>
    <w:rsid w:val="0081634E"/>
    <w:rsid w:val="00820803"/>
    <w:rsid w:val="00824C9B"/>
    <w:rsid w:val="00857B28"/>
    <w:rsid w:val="00886AA5"/>
    <w:rsid w:val="008922FC"/>
    <w:rsid w:val="008A579F"/>
    <w:rsid w:val="008C48B4"/>
    <w:rsid w:val="008D58F1"/>
    <w:rsid w:val="009018DE"/>
    <w:rsid w:val="00922474"/>
    <w:rsid w:val="00933DB5"/>
    <w:rsid w:val="00934341"/>
    <w:rsid w:val="0094741A"/>
    <w:rsid w:val="0095008D"/>
    <w:rsid w:val="00983A73"/>
    <w:rsid w:val="009A0D56"/>
    <w:rsid w:val="009A6B85"/>
    <w:rsid w:val="009B695D"/>
    <w:rsid w:val="009B7577"/>
    <w:rsid w:val="009E4CBC"/>
    <w:rsid w:val="009F160D"/>
    <w:rsid w:val="009F4F59"/>
    <w:rsid w:val="00A13C88"/>
    <w:rsid w:val="00A2314B"/>
    <w:rsid w:val="00A47EDC"/>
    <w:rsid w:val="00A57B39"/>
    <w:rsid w:val="00A60276"/>
    <w:rsid w:val="00A60A8B"/>
    <w:rsid w:val="00A939D7"/>
    <w:rsid w:val="00AA4FC0"/>
    <w:rsid w:val="00AA6D01"/>
    <w:rsid w:val="00AA7F2D"/>
    <w:rsid w:val="00AE0CE0"/>
    <w:rsid w:val="00AE56F1"/>
    <w:rsid w:val="00AE6E34"/>
    <w:rsid w:val="00AF108E"/>
    <w:rsid w:val="00AF2CFE"/>
    <w:rsid w:val="00B0278F"/>
    <w:rsid w:val="00B03117"/>
    <w:rsid w:val="00B033B8"/>
    <w:rsid w:val="00B103C9"/>
    <w:rsid w:val="00B22CA4"/>
    <w:rsid w:val="00B449CA"/>
    <w:rsid w:val="00B44E68"/>
    <w:rsid w:val="00B537F1"/>
    <w:rsid w:val="00BA0F1A"/>
    <w:rsid w:val="00BA206D"/>
    <w:rsid w:val="00C20D5C"/>
    <w:rsid w:val="00C21AB6"/>
    <w:rsid w:val="00C30691"/>
    <w:rsid w:val="00C34E99"/>
    <w:rsid w:val="00C465EE"/>
    <w:rsid w:val="00C56F81"/>
    <w:rsid w:val="00C62190"/>
    <w:rsid w:val="00C7293C"/>
    <w:rsid w:val="00C83CB3"/>
    <w:rsid w:val="00C97558"/>
    <w:rsid w:val="00CA3CB1"/>
    <w:rsid w:val="00CC283E"/>
    <w:rsid w:val="00CC2F53"/>
    <w:rsid w:val="00D07C0D"/>
    <w:rsid w:val="00D120B1"/>
    <w:rsid w:val="00D20756"/>
    <w:rsid w:val="00D2106D"/>
    <w:rsid w:val="00D21956"/>
    <w:rsid w:val="00D32F91"/>
    <w:rsid w:val="00D34502"/>
    <w:rsid w:val="00D435E1"/>
    <w:rsid w:val="00D53B75"/>
    <w:rsid w:val="00D5528E"/>
    <w:rsid w:val="00D61877"/>
    <w:rsid w:val="00D65F87"/>
    <w:rsid w:val="00D82084"/>
    <w:rsid w:val="00DD4953"/>
    <w:rsid w:val="00DF47E9"/>
    <w:rsid w:val="00E00738"/>
    <w:rsid w:val="00E00B5B"/>
    <w:rsid w:val="00E01E0C"/>
    <w:rsid w:val="00E025DE"/>
    <w:rsid w:val="00E03584"/>
    <w:rsid w:val="00E14FFE"/>
    <w:rsid w:val="00E302B3"/>
    <w:rsid w:val="00E34BD9"/>
    <w:rsid w:val="00E3624C"/>
    <w:rsid w:val="00E43ECF"/>
    <w:rsid w:val="00E5592D"/>
    <w:rsid w:val="00E71E35"/>
    <w:rsid w:val="00E75D76"/>
    <w:rsid w:val="00E760CA"/>
    <w:rsid w:val="00E839E5"/>
    <w:rsid w:val="00E83ABF"/>
    <w:rsid w:val="00E97298"/>
    <w:rsid w:val="00EA07AD"/>
    <w:rsid w:val="00EC4BF8"/>
    <w:rsid w:val="00ED141F"/>
    <w:rsid w:val="00ED2ED4"/>
    <w:rsid w:val="00ED41CB"/>
    <w:rsid w:val="00EE0324"/>
    <w:rsid w:val="00EE1E0E"/>
    <w:rsid w:val="00EE607C"/>
    <w:rsid w:val="00F36CB2"/>
    <w:rsid w:val="00F403A3"/>
    <w:rsid w:val="00F532C0"/>
    <w:rsid w:val="00F5535C"/>
    <w:rsid w:val="00F559E2"/>
    <w:rsid w:val="00F57DD3"/>
    <w:rsid w:val="00F82B07"/>
    <w:rsid w:val="00F87568"/>
    <w:rsid w:val="00FC03FF"/>
    <w:rsid w:val="00FC6BD1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22C3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99"/>
    <w:rsid w:val="00B537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141F"/>
    <w:pPr>
      <w:spacing w:line="240" w:lineRule="atLeas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E6891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styleId="Hyperlink">
    <w:name w:val="Hyperlink"/>
    <w:basedOn w:val="DefaultParagraphFont"/>
    <w:uiPriority w:val="99"/>
    <w:rsid w:val="002C0FD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83AB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9</Pages>
  <Words>2818</Words>
  <Characters>16068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3</dc:title>
  <dc:subject/>
  <dc:creator>Admin</dc:creator>
  <cp:keywords/>
  <dc:description/>
  <cp:lastModifiedBy>Элемент</cp:lastModifiedBy>
  <cp:revision>14</cp:revision>
  <cp:lastPrinted>2021-08-16T02:47:00Z</cp:lastPrinted>
  <dcterms:created xsi:type="dcterms:W3CDTF">2021-08-12T06:39:00Z</dcterms:created>
  <dcterms:modified xsi:type="dcterms:W3CDTF">2021-08-16T02:58:00Z</dcterms:modified>
</cp:coreProperties>
</file>